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2018年度温州市财政支出项目绩效评分表</w:t>
      </w:r>
    </w:p>
    <w:p>
      <w:pPr>
        <w:snapToGrid w:val="0"/>
        <w:spacing w:line="360" w:lineRule="exact"/>
        <w:ind w:right="420"/>
        <w:jc w:val="center"/>
        <w:rPr>
          <w:rFonts w:ascii="仿宋_GB2312" w:hAnsi="SimSun-ExtB" w:eastAsia="仿宋_GB2312"/>
          <w:color w:val="000000"/>
          <w:szCs w:val="21"/>
        </w:rPr>
      </w:pPr>
      <w:r>
        <w:rPr>
          <w:rFonts w:hint="eastAsia" w:ascii="仿宋_GB2312" w:hAnsi="SimSun-ExtB" w:eastAsia="仿宋_GB2312"/>
          <w:color w:val="000000"/>
          <w:szCs w:val="21"/>
        </w:rPr>
        <w:t xml:space="preserve">                                                              </w:t>
      </w:r>
      <w:r>
        <w:rPr>
          <w:rFonts w:hint="eastAsia" w:ascii="仿宋_GB2312" w:hAnsi="宋体" w:eastAsia="仿宋_GB2312" w:cs="宋体"/>
          <w:color w:val="000000"/>
          <w:szCs w:val="21"/>
        </w:rPr>
        <w:t>金额单位：万元</w:t>
      </w:r>
    </w:p>
    <w:tbl>
      <w:tblPr>
        <w:tblStyle w:val="2"/>
        <w:tblW w:w="9841" w:type="dxa"/>
        <w:jc w:val="center"/>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89"/>
        <w:gridCol w:w="186"/>
        <w:gridCol w:w="1247"/>
        <w:gridCol w:w="1430"/>
        <w:gridCol w:w="1534"/>
        <w:gridCol w:w="1186"/>
        <w:gridCol w:w="271"/>
        <w:gridCol w:w="817"/>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466"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422" w:type="dxa"/>
            <w:gridSpan w:val="3"/>
            <w:noWrap w:val="0"/>
            <w:vAlign w:val="center"/>
          </w:tcPr>
          <w:p>
            <w:pPr>
              <w:snapToGrid w:val="0"/>
              <w:spacing w:line="320" w:lineRule="exact"/>
              <w:jc w:val="both"/>
              <w:rPr>
                <w:rFonts w:ascii="仿宋_GB2312" w:hAnsi="SimSun-ExtB" w:eastAsia="仿宋_GB2312"/>
                <w:color w:val="000000"/>
                <w:sz w:val="24"/>
              </w:rPr>
            </w:pPr>
            <w:r>
              <w:rPr>
                <w:rFonts w:hint="eastAsia" w:ascii="仿宋_GB2312" w:hAnsi="宋体" w:eastAsia="仿宋_GB2312" w:cs="宋体"/>
                <w:color w:val="000000"/>
                <w:sz w:val="24"/>
                <w:lang w:eastAsia="zh-CN"/>
              </w:rPr>
              <w:t>温州市民族宗教事务局</w:t>
            </w:r>
            <w:r>
              <w:rPr>
                <w:rFonts w:hint="eastAsia" w:ascii="仿宋_GB2312" w:hAnsi="宋体" w:eastAsia="仿宋_GB2312" w:cs="宋体"/>
                <w:color w:val="000000"/>
                <w:sz w:val="24"/>
              </w:rPr>
              <w:t>（盖章）</w:t>
            </w:r>
          </w:p>
        </w:tc>
        <w:tc>
          <w:tcPr>
            <w:tcW w:w="1430"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523" w:type="dxa"/>
            <w:gridSpan w:val="5"/>
            <w:noWrap w:val="0"/>
            <w:vAlign w:val="center"/>
          </w:tcPr>
          <w:p>
            <w:pPr>
              <w:snapToGrid w:val="0"/>
              <w:spacing w:line="320" w:lineRule="exact"/>
              <w:jc w:val="center"/>
              <w:rPr>
                <w:rFonts w:hint="eastAsia" w:ascii="仿宋_GB2312" w:hAnsi="SimSun-ExtB" w:eastAsia="仿宋_GB2312"/>
                <w:color w:val="000000"/>
                <w:sz w:val="24"/>
                <w:lang w:eastAsia="zh-CN"/>
              </w:rPr>
            </w:pPr>
            <w:r>
              <w:rPr>
                <w:rFonts w:hint="eastAsia" w:ascii="仿宋_GB2312" w:hAnsi="SimSun-ExtB" w:eastAsia="仿宋_GB2312"/>
                <w:color w:val="000000"/>
                <w:sz w:val="24"/>
                <w:lang w:eastAsia="zh-CN"/>
              </w:rPr>
              <w:t>服务中心经费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466"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责任部门</w:t>
            </w:r>
          </w:p>
        </w:tc>
        <w:tc>
          <w:tcPr>
            <w:tcW w:w="2422" w:type="dxa"/>
            <w:gridSpan w:val="3"/>
            <w:noWrap w:val="0"/>
            <w:vAlign w:val="center"/>
          </w:tcPr>
          <w:p>
            <w:pPr>
              <w:snapToGrid w:val="0"/>
              <w:spacing w:line="320" w:lineRule="exact"/>
              <w:jc w:val="center"/>
              <w:rPr>
                <w:rFonts w:hint="eastAsia" w:ascii="仿宋_GB2312" w:hAnsi="SimSun-ExtB" w:eastAsia="仿宋_GB2312"/>
                <w:color w:val="000000"/>
                <w:sz w:val="24"/>
                <w:lang w:eastAsia="zh-CN"/>
              </w:rPr>
            </w:pPr>
            <w:r>
              <w:rPr>
                <w:rFonts w:hint="eastAsia" w:ascii="仿宋_GB2312" w:hAnsi="SimSun-ExtB" w:eastAsia="仿宋_GB2312"/>
                <w:color w:val="000000"/>
                <w:sz w:val="24"/>
                <w:lang w:eastAsia="zh-CN"/>
              </w:rPr>
              <w:t>宗教一处</w:t>
            </w:r>
          </w:p>
        </w:tc>
        <w:tc>
          <w:tcPr>
            <w:tcW w:w="1430"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项目负责人</w:t>
            </w:r>
          </w:p>
        </w:tc>
        <w:tc>
          <w:tcPr>
            <w:tcW w:w="1534" w:type="dxa"/>
            <w:noWrap w:val="0"/>
            <w:vAlign w:val="center"/>
          </w:tcPr>
          <w:p>
            <w:pPr>
              <w:snapToGrid w:val="0"/>
              <w:spacing w:line="320" w:lineRule="exact"/>
              <w:jc w:val="center"/>
              <w:rPr>
                <w:rFonts w:hint="eastAsia" w:ascii="仿宋_GB2312" w:hAnsi="SimSun-ExtB" w:eastAsia="仿宋_GB2312"/>
                <w:color w:val="000000"/>
                <w:sz w:val="24"/>
                <w:lang w:eastAsia="zh-CN"/>
              </w:rPr>
            </w:pPr>
            <w:r>
              <w:rPr>
                <w:rFonts w:hint="eastAsia" w:ascii="仿宋_GB2312" w:hAnsi="SimSun-ExtB" w:eastAsia="仿宋_GB2312"/>
                <w:color w:val="000000"/>
                <w:sz w:val="24"/>
                <w:lang w:eastAsia="zh-CN"/>
              </w:rPr>
              <w:t>李海波</w:t>
            </w:r>
          </w:p>
        </w:tc>
        <w:tc>
          <w:tcPr>
            <w:tcW w:w="1186"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联系电话</w:t>
            </w:r>
          </w:p>
        </w:tc>
        <w:tc>
          <w:tcPr>
            <w:tcW w:w="1803" w:type="dxa"/>
            <w:gridSpan w:val="3"/>
            <w:noWrap w:val="0"/>
            <w:vAlign w:val="center"/>
          </w:tcPr>
          <w:p>
            <w:pPr>
              <w:snapToGrid w:val="0"/>
              <w:spacing w:line="320" w:lineRule="exact"/>
              <w:jc w:val="center"/>
              <w:rPr>
                <w:rFonts w:hint="default" w:ascii="仿宋_GB2312" w:hAnsi="SimSun-ExtB" w:eastAsia="仿宋_GB2312"/>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466" w:type="dxa"/>
            <w:vMerge w:val="restart"/>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75" w:type="dxa"/>
            <w:gridSpan w:val="2"/>
            <w:noWrap w:val="0"/>
            <w:vAlign w:val="center"/>
          </w:tcPr>
          <w:p>
            <w:pPr>
              <w:snapToGrid w:val="0"/>
              <w:spacing w:line="320" w:lineRule="exact"/>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上年</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结转</w:t>
            </w:r>
          </w:p>
        </w:tc>
        <w:tc>
          <w:tcPr>
            <w:tcW w:w="1247"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年初预算安排数</w:t>
            </w:r>
          </w:p>
        </w:tc>
        <w:tc>
          <w:tcPr>
            <w:tcW w:w="1430" w:type="dxa"/>
            <w:tcBorders>
              <w:right w:val="single" w:color="auto" w:sz="4" w:space="0"/>
            </w:tcBorders>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34" w:type="dxa"/>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989" w:type="dxa"/>
            <w:gridSpan w:val="4"/>
            <w:noWrap w:val="0"/>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466" w:type="dxa"/>
            <w:vMerge w:val="continue"/>
            <w:noWrap w:val="0"/>
            <w:vAlign w:val="center"/>
          </w:tcPr>
          <w:p>
            <w:pPr>
              <w:snapToGrid w:val="0"/>
              <w:spacing w:line="320" w:lineRule="exact"/>
              <w:jc w:val="center"/>
              <w:rPr>
                <w:rFonts w:ascii="仿宋_GB2312" w:hAnsi="SimSun-ExtB" w:eastAsia="仿宋_GB2312"/>
                <w:color w:val="000000"/>
                <w:sz w:val="24"/>
              </w:rPr>
            </w:pPr>
          </w:p>
        </w:tc>
        <w:tc>
          <w:tcPr>
            <w:tcW w:w="1175" w:type="dxa"/>
            <w:gridSpan w:val="2"/>
            <w:noWrap w:val="0"/>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0</w:t>
            </w:r>
          </w:p>
        </w:tc>
        <w:tc>
          <w:tcPr>
            <w:tcW w:w="1247" w:type="dxa"/>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17</w:t>
            </w:r>
          </w:p>
        </w:tc>
        <w:tc>
          <w:tcPr>
            <w:tcW w:w="1430" w:type="dxa"/>
            <w:tcBorders>
              <w:right w:val="single" w:color="auto" w:sz="4" w:space="0"/>
            </w:tcBorders>
            <w:noWrap w:val="0"/>
            <w:vAlign w:val="center"/>
          </w:tcPr>
          <w:p>
            <w:pPr>
              <w:snapToGrid w:val="0"/>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0</w:t>
            </w:r>
          </w:p>
        </w:tc>
        <w:tc>
          <w:tcPr>
            <w:tcW w:w="1534" w:type="dxa"/>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16.08</w:t>
            </w:r>
          </w:p>
        </w:tc>
        <w:tc>
          <w:tcPr>
            <w:tcW w:w="2989" w:type="dxa"/>
            <w:gridSpan w:val="4"/>
            <w:noWrap w:val="0"/>
            <w:vAlign w:val="center"/>
          </w:tcPr>
          <w:p>
            <w:pPr>
              <w:snapToGrid w:val="0"/>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jc w:val="center"/>
        </w:trPr>
        <w:tc>
          <w:tcPr>
            <w:tcW w:w="1466"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89"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854" w:type="dxa"/>
            <w:gridSpan w:val="6"/>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评价简述</w:t>
            </w:r>
          </w:p>
        </w:tc>
        <w:tc>
          <w:tcPr>
            <w:tcW w:w="817"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c>
          <w:tcPr>
            <w:tcW w:w="715"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复评得分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7"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FF0000"/>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hint="eastAsia" w:ascii="宋体" w:hAnsi="宋体" w:eastAsia="宋体" w:cs="宋体"/>
                <w:sz w:val="18"/>
                <w:szCs w:val="18"/>
                <w:lang w:val="en-US" w:eastAsia="zh-CN"/>
              </w:rPr>
            </w:pPr>
            <w:r>
              <w:rPr>
                <w:rFonts w:hint="eastAsia" w:ascii="宋体" w:hAnsi="宋体" w:cs="宋体"/>
                <w:sz w:val="18"/>
                <w:szCs w:val="18"/>
                <w:lang w:val="en-US" w:eastAsia="zh-CN"/>
              </w:rPr>
              <w:t>思想政治教育补助经费10.8万元：女众部82人*800元/人</w:t>
            </w:r>
            <w:r>
              <w:rPr>
                <w:rFonts w:hint="eastAsia" w:ascii="微软雅黑" w:hAnsi="微软雅黑" w:eastAsia="微软雅黑" w:cs="微软雅黑"/>
                <w:sz w:val="18"/>
                <w:szCs w:val="18"/>
                <w:lang w:val="en-US" w:eastAsia="zh-CN"/>
              </w:rPr>
              <w:t>·</w:t>
            </w:r>
            <w:r>
              <w:rPr>
                <w:rFonts w:hint="eastAsia" w:ascii="宋体" w:hAnsi="宋体" w:eastAsia="微软雅黑" w:cs="宋体"/>
                <w:sz w:val="18"/>
                <w:szCs w:val="18"/>
                <w:lang w:val="en-US" w:eastAsia="zh-CN"/>
              </w:rPr>
              <w:t>年＝65600元；男众部53</w:t>
            </w:r>
            <w:r>
              <w:rPr>
                <w:rFonts w:hint="eastAsia" w:ascii="宋体" w:hAnsi="宋体" w:cs="宋体"/>
                <w:sz w:val="18"/>
                <w:szCs w:val="18"/>
                <w:lang w:val="en-US" w:eastAsia="zh-CN"/>
              </w:rPr>
              <w:t>人*800元/人</w:t>
            </w:r>
            <w:r>
              <w:rPr>
                <w:rFonts w:hint="eastAsia" w:ascii="微软雅黑" w:hAnsi="微软雅黑" w:eastAsia="微软雅黑" w:cs="微软雅黑"/>
                <w:sz w:val="18"/>
                <w:szCs w:val="18"/>
                <w:lang w:val="en-US" w:eastAsia="zh-CN"/>
              </w:rPr>
              <w:t>·</w:t>
            </w:r>
            <w:r>
              <w:rPr>
                <w:rFonts w:hint="eastAsia" w:ascii="宋体" w:hAnsi="宋体" w:eastAsia="微软雅黑" w:cs="宋体"/>
                <w:sz w:val="18"/>
                <w:szCs w:val="18"/>
                <w:lang w:val="en-US" w:eastAsia="zh-CN"/>
              </w:rPr>
              <w:t>年＝42400元。</w:t>
            </w:r>
          </w:p>
          <w:p>
            <w:pPr>
              <w:numPr>
                <w:ilvl w:val="0"/>
                <w:numId w:val="1"/>
              </w:numPr>
              <w:rPr>
                <w:rFonts w:hint="eastAsia" w:ascii="宋体" w:hAnsi="宋体" w:eastAsia="宋体" w:cs="宋体"/>
                <w:sz w:val="18"/>
                <w:szCs w:val="18"/>
                <w:lang w:val="en-US" w:eastAsia="zh-CN"/>
              </w:rPr>
            </w:pPr>
            <w:r>
              <w:rPr>
                <w:rFonts w:hint="eastAsia" w:ascii="宋体" w:hAnsi="宋体" w:eastAsia="微软雅黑" w:cs="宋体"/>
                <w:sz w:val="18"/>
                <w:szCs w:val="18"/>
                <w:lang w:val="en-US" w:eastAsia="zh-CN"/>
              </w:rPr>
              <w:t>教师培训费：380元*30人*5天＝57000元</w:t>
            </w:r>
          </w:p>
          <w:p>
            <w:pPr>
              <w:numPr>
                <w:ilvl w:val="0"/>
                <w:numId w:val="1"/>
              </w:numPr>
              <w:rPr>
                <w:rFonts w:hint="eastAsia" w:ascii="宋体" w:hAnsi="宋体" w:eastAsia="宋体" w:cs="宋体"/>
                <w:sz w:val="18"/>
                <w:szCs w:val="18"/>
                <w:lang w:val="en-US" w:eastAsia="zh-CN"/>
              </w:rPr>
            </w:pPr>
            <w:r>
              <w:rPr>
                <w:rFonts w:hint="eastAsia" w:ascii="宋体" w:hAnsi="宋体" w:eastAsia="微软雅黑" w:cs="宋体"/>
                <w:sz w:val="18"/>
                <w:szCs w:val="18"/>
                <w:lang w:val="en-US" w:eastAsia="zh-CN"/>
              </w:rPr>
              <w:t>思想政治课教材购置费5000元</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8</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该项目预算执行率为</w:t>
            </w:r>
            <w:r>
              <w:rPr>
                <w:rFonts w:hint="eastAsia" w:ascii="宋体" w:hAnsi="宋体" w:cs="宋体"/>
                <w:color w:val="000000"/>
                <w:sz w:val="18"/>
                <w:szCs w:val="18"/>
                <w:lang w:val="en-US" w:eastAsia="zh-CN"/>
              </w:rPr>
              <w:t>94.59</w:t>
            </w:r>
            <w:r>
              <w:rPr>
                <w:rFonts w:hint="eastAsia" w:ascii="宋体" w:hAnsi="宋体" w:eastAsia="宋体" w:cs="宋体"/>
                <w:color w:val="000000"/>
                <w:sz w:val="18"/>
                <w:szCs w:val="18"/>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eastAsia" w:ascii="宋体" w:hAnsi="宋体" w:eastAsia="宋体" w:cs="宋体"/>
                <w:color w:val="000000"/>
                <w:sz w:val="18"/>
                <w:szCs w:val="18"/>
              </w:rPr>
            </w:pPr>
            <w:r>
              <w:rPr>
                <w:rFonts w:hint="eastAsia" w:ascii="宋体" w:hAnsi="宋体" w:eastAsia="宋体" w:cs="宋体"/>
                <w:color w:val="000000"/>
                <w:sz w:val="18"/>
                <w:szCs w:val="18"/>
              </w:rPr>
              <w:t>本项目建立了</w:t>
            </w:r>
            <w:r>
              <w:rPr>
                <w:rFonts w:hint="eastAsia" w:ascii="宋体" w:hAnsi="宋体" w:eastAsia="宋体" w:cs="宋体"/>
                <w:sz w:val="18"/>
                <w:szCs w:val="18"/>
                <w:lang w:val="en-US" w:eastAsia="zh-CN"/>
              </w:rPr>
              <w:t>中央组织部《关于在干部教育培训中进一步加强学员管理的规定》、《温州市人民政府办公室关于转发市财政局温州市市级机关会议费管理规定和温州市市级机关培训费管理规定的通知》（温政办〔2018〕15号）、《温州市财政局  温州市人力资源和社会保障局关于规范市级行政事业单位劳务费支出管理的通知</w:t>
            </w:r>
            <w:bookmarkStart w:id="0" w:name="FWZH"/>
            <w:r>
              <w:rPr>
                <w:rFonts w:hint="eastAsia" w:ascii="宋体" w:hAnsi="宋体" w:eastAsia="宋体" w:cs="宋体"/>
                <w:sz w:val="18"/>
                <w:szCs w:val="18"/>
                <w:lang w:val="en-US" w:eastAsia="zh-CN"/>
              </w:rPr>
              <w:t>》（温财行〔2016〕637号）、</w:t>
            </w:r>
            <w:r>
              <w:rPr>
                <w:rFonts w:hint="eastAsia" w:ascii="宋体" w:hAnsi="宋体" w:eastAsia="宋体" w:cs="宋体"/>
                <w:sz w:val="18"/>
                <w:szCs w:val="18"/>
              </w:rPr>
              <w:t>《温州市民宗局财务管理办法》</w:t>
            </w:r>
            <w:bookmarkEnd w:id="0"/>
            <w:r>
              <w:rPr>
                <w:rFonts w:hint="eastAsia" w:ascii="宋体" w:hAnsi="宋体" w:eastAsia="宋体" w:cs="宋体"/>
                <w:color w:val="000000"/>
                <w:sz w:val="18"/>
                <w:szCs w:val="18"/>
              </w:rPr>
              <w:t>等项目管理制度，并严格按相关制度执行。</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5"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合理合规</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本年项目支出符合国家相关法律法规、</w:t>
            </w:r>
            <w:r>
              <w:rPr>
                <w:rFonts w:hint="eastAsia" w:ascii="宋体" w:hAnsi="宋体" w:eastAsia="宋体" w:cs="宋体"/>
                <w:sz w:val="18"/>
                <w:szCs w:val="18"/>
              </w:rPr>
              <w:t>财务管理制度以等规定，且均在预算范围内，无与本项目预算不相符或无关的资金支出。</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30</w:t>
            </w:r>
          </w:p>
        </w:tc>
        <w:tc>
          <w:tcPr>
            <w:tcW w:w="5854" w:type="dxa"/>
            <w:gridSpan w:val="6"/>
            <w:tcBorders>
              <w:top w:val="single" w:color="auto" w:sz="4" w:space="0"/>
              <w:left w:val="single" w:color="auto" w:sz="4" w:space="0"/>
              <w:bottom w:val="nil"/>
              <w:right w:val="single" w:color="auto" w:sz="4" w:space="0"/>
            </w:tcBorders>
            <w:noWrap w:val="0"/>
            <w:vAlign w:val="center"/>
          </w:tcPr>
          <w:p>
            <w:pPr>
              <w:numPr>
                <w:ilvl w:val="0"/>
                <w:numId w:val="0"/>
              </w:num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举办</w:t>
            </w:r>
            <w:r>
              <w:rPr>
                <w:rFonts w:hint="eastAsia" w:ascii="宋体" w:hAnsi="宋体" w:cs="宋体"/>
                <w:color w:val="auto"/>
                <w:sz w:val="18"/>
                <w:szCs w:val="18"/>
                <w:lang w:eastAsia="zh-CN"/>
              </w:rPr>
              <w:t>温州佛学院教师</w:t>
            </w:r>
            <w:r>
              <w:rPr>
                <w:rFonts w:hint="eastAsia" w:ascii="宋体" w:hAnsi="宋体" w:eastAsia="宋体" w:cs="宋体"/>
                <w:color w:val="auto"/>
                <w:sz w:val="18"/>
                <w:szCs w:val="18"/>
                <w:lang w:eastAsia="zh-CN"/>
              </w:rPr>
              <w:t>培训班</w:t>
            </w:r>
            <w:r>
              <w:rPr>
                <w:rFonts w:hint="eastAsia" w:ascii="宋体" w:hAnsi="宋体" w:eastAsia="宋体" w:cs="宋体"/>
                <w:color w:val="auto"/>
                <w:sz w:val="18"/>
                <w:szCs w:val="18"/>
                <w:lang w:val="en-US" w:eastAsia="zh-CN"/>
              </w:rPr>
              <w:t>1期，参训人数</w:t>
            </w:r>
            <w:r>
              <w:rPr>
                <w:rFonts w:hint="eastAsia" w:ascii="宋体" w:hAnsi="宋体" w:cs="宋体"/>
                <w:color w:val="auto"/>
                <w:sz w:val="18"/>
                <w:szCs w:val="18"/>
                <w:lang w:val="en-US" w:eastAsia="zh-CN"/>
              </w:rPr>
              <w:t>38</w:t>
            </w:r>
            <w:r>
              <w:rPr>
                <w:rFonts w:hint="eastAsia" w:ascii="宋体" w:hAnsi="宋体" w:eastAsia="宋体" w:cs="宋体"/>
                <w:color w:val="auto"/>
                <w:sz w:val="18"/>
                <w:szCs w:val="18"/>
                <w:lang w:val="en-US" w:eastAsia="zh-CN"/>
              </w:rPr>
              <w:t>人；</w:t>
            </w:r>
          </w:p>
          <w:p>
            <w:pPr>
              <w:numPr>
                <w:ilvl w:val="0"/>
                <w:numId w:val="0"/>
              </w:numP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男众部聘请专业思想政治教师，开设法律基础、中国通史、形势政策教育、写作等课程，共计196课时；</w:t>
            </w:r>
          </w:p>
          <w:p>
            <w:pPr>
              <w:numPr>
                <w:ilvl w:val="0"/>
                <w:numId w:val="0"/>
              </w:numPr>
              <w:rPr>
                <w:rFonts w:hint="default" w:ascii="宋体" w:hAnsi="宋体" w:cs="宋体"/>
                <w:color w:val="000000"/>
                <w:sz w:val="18"/>
                <w:szCs w:val="18"/>
                <w:lang w:val="en-US" w:eastAsia="zh-CN"/>
              </w:rPr>
            </w:pPr>
            <w:r>
              <w:rPr>
                <w:rFonts w:hint="eastAsia" w:ascii="宋体" w:hAnsi="宋体" w:cs="宋体"/>
                <w:color w:val="000000"/>
                <w:sz w:val="18"/>
                <w:szCs w:val="18"/>
                <w:lang w:eastAsia="zh-CN"/>
              </w:rPr>
              <w:t>女众部与温州大学成教学院合作办学，实行双学历教育，每生每年补助思想政治课教育经费</w:t>
            </w:r>
            <w:r>
              <w:rPr>
                <w:rFonts w:hint="eastAsia" w:ascii="宋体" w:hAnsi="宋体" w:cs="宋体"/>
                <w:color w:val="000000"/>
                <w:sz w:val="18"/>
                <w:szCs w:val="18"/>
                <w:lang w:val="en-US" w:eastAsia="zh-CN"/>
              </w:rPr>
              <w:t>800元/年*80人＝64000元</w:t>
            </w:r>
          </w:p>
        </w:tc>
        <w:tc>
          <w:tcPr>
            <w:tcW w:w="817"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27</w:t>
            </w:r>
          </w:p>
        </w:tc>
        <w:tc>
          <w:tcPr>
            <w:tcW w:w="715"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466"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89"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854" w:type="dxa"/>
            <w:gridSpan w:val="6"/>
            <w:tcBorders>
              <w:top w:val="single" w:color="auto" w:sz="4" w:space="0"/>
              <w:left w:val="single" w:color="auto" w:sz="4" w:space="0"/>
              <w:right w:val="single" w:color="auto" w:sz="4" w:space="0"/>
            </w:tcBorders>
            <w:noWrap w:val="0"/>
            <w:vAlign w:val="center"/>
          </w:tcPr>
          <w:p>
            <w:pPr>
              <w:spacing w:line="320" w:lineRule="exact"/>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提高了</w:t>
            </w:r>
            <w:r>
              <w:rPr>
                <w:rFonts w:hint="eastAsia" w:ascii="宋体" w:hAnsi="宋体" w:cs="宋体"/>
                <w:color w:val="000000"/>
                <w:sz w:val="18"/>
                <w:szCs w:val="18"/>
                <w:lang w:eastAsia="zh-CN"/>
              </w:rPr>
              <w:t>温州佛学院教师的</w:t>
            </w:r>
            <w:r>
              <w:rPr>
                <w:rFonts w:hint="eastAsia" w:ascii="宋体" w:hAnsi="宋体" w:eastAsia="宋体" w:cs="宋体"/>
                <w:color w:val="000000"/>
                <w:sz w:val="18"/>
                <w:szCs w:val="18"/>
                <w:lang w:eastAsia="zh-CN"/>
              </w:rPr>
              <w:t>政治理论素养和综合能力，</w:t>
            </w:r>
            <w:r>
              <w:rPr>
                <w:rFonts w:hint="eastAsia" w:ascii="宋体" w:hAnsi="宋体" w:cs="宋体"/>
                <w:color w:val="000000"/>
                <w:sz w:val="18"/>
                <w:szCs w:val="18"/>
                <w:lang w:eastAsia="zh-CN"/>
              </w:rPr>
              <w:t>加强师资队伍建设，将民族文化、国家意识纳入佛学院教育的全过程，综合加强形势政策教育、国情国史教育、心理素质教育、健全人格和高尚情操教育、中华民族传统美德和革命传统道德教育，努力培养“政治上靠得住、学识上有造诣、品德上能服众、关键时起作用”的合格僧才。</w:t>
            </w:r>
          </w:p>
        </w:tc>
        <w:tc>
          <w:tcPr>
            <w:tcW w:w="817"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18</w:t>
            </w:r>
          </w:p>
        </w:tc>
        <w:tc>
          <w:tcPr>
            <w:tcW w:w="715" w:type="dxa"/>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小计</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仿宋_GB2312" w:hAnsi="SimSun-ExtB" w:eastAsia="仿宋_GB2312"/>
                <w:color w:val="000000"/>
                <w:sz w:val="24"/>
                <w:lang w:val="en-US" w:eastAsia="zh-CN"/>
              </w:rPr>
            </w:pPr>
            <w:r>
              <w:rPr>
                <w:rFonts w:hint="eastAsia" w:ascii="仿宋_GB2312" w:hAnsi="SimSun-ExtB" w:eastAsia="仿宋_GB2312"/>
                <w:color w:val="000000"/>
                <w:sz w:val="24"/>
                <w:lang w:val="en-US" w:eastAsia="zh-CN"/>
              </w:rPr>
              <w:t>93</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sz w:val="24"/>
              </w:rPr>
            </w:pPr>
            <w:r>
              <w:rPr>
                <w:rFonts w:hint="eastAsia" w:ascii="仿宋_GB2312" w:hAnsi="宋体" w:eastAsia="仿宋_GB2312" w:cs="宋体"/>
                <w:sz w:val="24"/>
              </w:rPr>
              <w:t>负向指标</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宋体"/>
                <w:sz w:val="18"/>
                <w:szCs w:val="18"/>
              </w:rPr>
            </w:pPr>
            <w:r>
              <w:rPr>
                <w:rFonts w:hint="eastAsia" w:ascii="宋体" w:hAnsi="宋体" w:eastAsia="宋体" w:cs="宋体"/>
                <w:sz w:val="18"/>
                <w:szCs w:val="18"/>
              </w:rPr>
              <w:t>主要评价自评得分与复评得分差异率。差异率≤10%，不扣分；10%&lt;差异率≤15%，扣2分；15%&lt;差异率≤20%，扣4分；</w:t>
            </w:r>
            <w:bookmarkStart w:id="1" w:name="_GoBack"/>
            <w:bookmarkEnd w:id="1"/>
            <w:r>
              <w:rPr>
                <w:rFonts w:hint="eastAsia" w:ascii="宋体" w:hAnsi="宋体" w:eastAsia="宋体" w:cs="宋体"/>
                <w:sz w:val="18"/>
                <w:szCs w:val="18"/>
              </w:rPr>
              <w:t>差异率&gt;20%，扣6分。</w:t>
            </w:r>
          </w:p>
        </w:tc>
        <w:tc>
          <w:tcPr>
            <w:tcW w:w="817"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合计</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SimSun-ExtB" w:eastAsia="仿宋_GB2312"/>
                <w:color w:val="000000"/>
                <w:sz w:val="24"/>
              </w:rPr>
            </w:pPr>
          </w:p>
        </w:tc>
        <w:tc>
          <w:tcPr>
            <w:tcW w:w="7386"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40" w:firstLineChars="100"/>
              <w:jc w:val="left"/>
              <w:rPr>
                <w:rFonts w:ascii="仿宋_GB2312" w:hAnsi="SimSun-ExtB" w:eastAsia="仿宋_GB2312" w:cs="宋体"/>
                <w:sz w:val="24"/>
              </w:rPr>
            </w:pPr>
            <w:r>
              <w:rPr>
                <w:rFonts w:hint="eastAsia" w:ascii="仿宋_GB2312" w:hAnsi="宋体" w:eastAsia="仿宋_GB2312" w:cs="宋体"/>
                <w:sz w:val="24"/>
              </w:rPr>
              <w:t>□优秀</w:t>
            </w:r>
            <w:r>
              <w:rPr>
                <w:rFonts w:hint="eastAsia" w:ascii="仿宋_GB2312" w:hAnsi="SimSun-ExtB" w:eastAsia="仿宋_GB2312" w:cs="宋体"/>
                <w:sz w:val="24"/>
              </w:rPr>
              <w:t xml:space="preserve">  90分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hint="eastAsia" w:ascii="仿宋_GB2312" w:hAnsi="SimSun-ExtB" w:eastAsia="仿宋_GB2312" w:cs="宋体"/>
                <w:sz w:val="24"/>
              </w:rPr>
              <w:t>100分</w:t>
            </w:r>
            <w:r>
              <w:rPr>
                <w:rFonts w:hint="eastAsia" w:ascii="仿宋_GB2312" w:hAnsi="宋体" w:eastAsia="仿宋_GB2312" w:cs="宋体"/>
                <w:sz w:val="24"/>
              </w:rPr>
              <w:t>；</w:t>
            </w:r>
            <w:r>
              <w:rPr>
                <w:rFonts w:hint="eastAsia" w:ascii="仿宋_GB2312" w:hAnsi="SimSun-ExtB" w:eastAsia="仿宋_GB2312" w:cs="宋体"/>
                <w:sz w:val="24"/>
              </w:rPr>
              <w:t xml:space="preserve"> </w:t>
            </w:r>
            <w:r>
              <w:rPr>
                <w:rFonts w:hint="eastAsia" w:ascii="仿宋_GB2312" w:hAnsi="宋体" w:eastAsia="仿宋_GB2312" w:cs="宋体"/>
                <w:sz w:val="24"/>
              </w:rPr>
              <w:t>□良好</w:t>
            </w:r>
            <w:r>
              <w:rPr>
                <w:rFonts w:hint="eastAsia" w:ascii="仿宋_GB2312" w:hAnsi="SimSun-ExtB" w:eastAsia="仿宋_GB2312" w:cs="宋体"/>
                <w:sz w:val="24"/>
              </w:rPr>
              <w:t xml:space="preserve">  75分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＜90</w:t>
            </w:r>
            <w:r>
              <w:rPr>
                <w:rFonts w:hint="eastAsia" w:ascii="仿宋_GB2312" w:hAnsi="SimSun-ExtB" w:eastAsia="仿宋_GB2312" w:cs="宋体"/>
                <w:sz w:val="24"/>
              </w:rPr>
              <w:t>分</w:t>
            </w:r>
            <w:r>
              <w:rPr>
                <w:rFonts w:hint="eastAsia" w:ascii="仿宋_GB2312" w:hAnsi="宋体" w:eastAsia="仿宋_GB2312" w:cs="宋体"/>
                <w:sz w:val="24"/>
              </w:rPr>
              <w:t>；</w:t>
            </w:r>
          </w:p>
          <w:p>
            <w:pPr>
              <w:spacing w:line="320" w:lineRule="exact"/>
              <w:jc w:val="left"/>
              <w:rPr>
                <w:rFonts w:ascii="仿宋_GB2312" w:hAnsi="SimSun-ExtB" w:eastAsia="仿宋_GB2312"/>
                <w:color w:val="000000"/>
                <w:sz w:val="24"/>
              </w:rPr>
            </w:pPr>
            <w:r>
              <w:rPr>
                <w:rFonts w:hint="eastAsia" w:ascii="仿宋_GB2312" w:hAnsi="SimSun-ExtB" w:eastAsia="仿宋_GB2312" w:cs="宋体"/>
                <w:sz w:val="24"/>
              </w:rPr>
              <w:t xml:space="preserve">  </w:t>
            </w:r>
            <w:r>
              <w:rPr>
                <w:rFonts w:hint="eastAsia" w:ascii="仿宋_GB2312" w:hAnsi="宋体" w:eastAsia="仿宋_GB2312" w:cs="宋体"/>
                <w:sz w:val="24"/>
              </w:rPr>
              <w:t>□一般</w:t>
            </w:r>
            <w:r>
              <w:rPr>
                <w:rFonts w:hint="eastAsia" w:ascii="仿宋_GB2312" w:hAnsi="SimSun-ExtB" w:eastAsia="仿宋_GB2312" w:cs="宋体"/>
                <w:sz w:val="24"/>
              </w:rPr>
              <w:t xml:space="preserve">  60分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＜75</w:t>
            </w:r>
            <w:r>
              <w:rPr>
                <w:rFonts w:hint="eastAsia" w:ascii="仿宋_GB2312" w:hAnsi="SimSun-ExtB" w:eastAsia="仿宋_GB2312" w:cs="宋体"/>
                <w:sz w:val="24"/>
              </w:rPr>
              <w:t>分</w:t>
            </w:r>
            <w:r>
              <w:rPr>
                <w:rFonts w:hint="eastAsia" w:ascii="仿宋_GB2312" w:hAnsi="宋体" w:eastAsia="仿宋_GB2312" w:cs="宋体"/>
                <w:sz w:val="24"/>
              </w:rPr>
              <w:t>；</w:t>
            </w:r>
            <w:r>
              <w:rPr>
                <w:rFonts w:hint="eastAsia" w:ascii="仿宋_GB2312" w:hAnsi="宋体" w:eastAsia="仿宋_GB2312" w:cs="宋体"/>
                <w:sz w:val="22"/>
              </w:rPr>
              <w:t xml:space="preserve"> </w:t>
            </w:r>
            <w:r>
              <w:rPr>
                <w:rFonts w:hint="eastAsia" w:ascii="仿宋_GB2312" w:hAnsi="SimSun-ExtB" w:eastAsia="仿宋_GB2312" w:cs="宋体"/>
                <w:sz w:val="24"/>
              </w:rPr>
              <w:t xml:space="preserve"> </w:t>
            </w:r>
            <w:r>
              <w:rPr>
                <w:rFonts w:hint="eastAsia" w:ascii="仿宋_GB2312" w:hAnsi="宋体" w:eastAsia="仿宋_GB2312" w:cs="宋体"/>
                <w:sz w:val="24"/>
              </w:rPr>
              <w:t>□较差</w:t>
            </w:r>
            <w:r>
              <w:rPr>
                <w:rFonts w:hint="eastAsia" w:ascii="仿宋_GB2312" w:hAnsi="SimSun-ExtB" w:eastAsia="仿宋_GB2312" w:cs="宋体"/>
                <w:sz w:val="24"/>
              </w:rPr>
              <w:t xml:space="preserve">  得分</w:t>
            </w:r>
            <w:r>
              <w:rPr>
                <w:rFonts w:hint="eastAsia" w:ascii="仿宋" w:hAnsi="仿宋" w:eastAsia="仿宋" w:cs="宋体"/>
                <w:sz w:val="24"/>
              </w:rPr>
              <w:t>＜60</w:t>
            </w:r>
            <w:r>
              <w:rPr>
                <w:rFonts w:hint="eastAsia" w:ascii="仿宋_GB2312" w:hAnsi="SimSun-ExtB" w:eastAsia="仿宋_GB2312" w:cs="宋体"/>
                <w:sz w:val="24"/>
              </w:rPr>
              <w:t>分</w:t>
            </w:r>
          </w:p>
        </w:tc>
      </w:tr>
    </w:tbl>
    <w:p>
      <w:pPr>
        <w:jc w:val="left"/>
        <w:rPr>
          <w:rFonts w:hint="eastAsia" w:ascii="仿宋_GB2312" w:hAnsi="宋体" w:eastAsia="仿宋_GB2312" w:cs="宋体"/>
          <w:sz w:val="24"/>
        </w:rPr>
      </w:pPr>
    </w:p>
    <w:p>
      <w:pPr>
        <w:jc w:val="left"/>
        <w:rPr>
          <w:rFonts w:hint="eastAsia" w:ascii="宋体" w:hAnsi="宋体"/>
          <w:color w:val="000000"/>
          <w:sz w:val="18"/>
          <w:szCs w:val="18"/>
        </w:rPr>
      </w:pPr>
      <w:r>
        <w:rPr>
          <w:rFonts w:hint="eastAsia" w:ascii="仿宋_GB2312" w:hAnsi="宋体" w:eastAsia="仿宋_GB2312" w:cs="宋体"/>
          <w:sz w:val="24"/>
        </w:rPr>
        <w:t>单位负责人（签字）：</w:t>
      </w:r>
      <w:r>
        <w:rPr>
          <w:rFonts w:hint="eastAsia" w:ascii="仿宋_GB2312" w:hAnsi="SimSun-ExtB" w:eastAsia="仿宋_GB2312"/>
          <w:sz w:val="24"/>
        </w:rPr>
        <w:t xml:space="preserve">   </w:t>
      </w:r>
      <w:r>
        <w:rPr>
          <w:rFonts w:hint="eastAsia" w:ascii="仿宋_GB2312" w:hAnsi="宋体" w:eastAsia="仿宋_GB2312" w:cs="宋体"/>
          <w:sz w:val="24"/>
        </w:rPr>
        <w:t>项目负责人（签字）：</w:t>
      </w:r>
      <w:r>
        <w:rPr>
          <w:rFonts w:hint="eastAsia" w:ascii="仿宋_GB2312" w:hAnsi="SimSun-ExtB" w:eastAsia="仿宋_GB2312"/>
          <w:sz w:val="24"/>
        </w:rPr>
        <w:t xml:space="preserve">      </w:t>
      </w:r>
      <w:r>
        <w:rPr>
          <w:rFonts w:hint="eastAsia" w:ascii="仿宋_GB2312" w:hAnsi="宋体" w:eastAsia="仿宋_GB2312" w:cs="宋体"/>
          <w:sz w:val="24"/>
        </w:rPr>
        <w:t>填表日期：</w:t>
      </w:r>
      <w:r>
        <w:rPr>
          <w:rFonts w:hint="eastAsia" w:ascii="仿宋_GB2312" w:hAnsi="SimSun-ExtB" w:eastAsia="仿宋_GB2312"/>
          <w:sz w:val="24"/>
        </w:rPr>
        <w:t xml:space="preserve">    </w:t>
      </w:r>
      <w:r>
        <w:rPr>
          <w:rFonts w:hint="eastAsia" w:ascii="仿宋_GB2312" w:hAnsi="宋体" w:eastAsia="仿宋_GB2312" w:cs="宋体"/>
          <w:sz w:val="24"/>
        </w:rPr>
        <w:t>年</w:t>
      </w:r>
      <w:r>
        <w:rPr>
          <w:rFonts w:hint="eastAsia" w:ascii="仿宋_GB2312" w:hAnsi="SimSun-ExtB" w:eastAsia="仿宋_GB2312"/>
          <w:szCs w:val="21"/>
        </w:rPr>
        <w:t xml:space="preserve">    </w:t>
      </w:r>
      <w:r>
        <w:rPr>
          <w:rFonts w:hint="eastAsia" w:ascii="仿宋_GB2312" w:hAnsi="宋体" w:eastAsia="仿宋_GB2312" w:cs="宋体"/>
          <w:szCs w:val="21"/>
        </w:rPr>
        <w:t>月</w:t>
      </w:r>
      <w:r>
        <w:rPr>
          <w:rFonts w:hint="eastAsia" w:ascii="仿宋_GB2312" w:hAnsi="SimSun-ExtB" w:eastAsia="仿宋_GB2312"/>
          <w:szCs w:val="21"/>
        </w:rPr>
        <w:t xml:space="preserve">    </w:t>
      </w:r>
      <w:r>
        <w:rPr>
          <w:rFonts w:hint="eastAsia" w:ascii="仿宋_GB2312" w:hAnsi="宋体" w:eastAsia="仿宋_GB2312" w:cs="宋体"/>
          <w:szCs w:val="21"/>
        </w:rPr>
        <w:t>日</w:t>
      </w:r>
      <w:r>
        <w:rPr>
          <w:rFonts w:hint="eastAsia" w:ascii="宋体" w:hAnsi="宋体"/>
          <w:color w:val="000000"/>
          <w:sz w:val="18"/>
          <w:szCs w:val="18"/>
        </w:rPr>
        <w:t xml:space="preserve">   </w:t>
      </w:r>
    </w:p>
    <w:p>
      <w:r>
        <w:rPr>
          <w:rFonts w:ascii="宋体" w:hAnsi="宋体"/>
          <w:color w:val="000000"/>
          <w:sz w:val="18"/>
          <w:szCs w:val="1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imSun-ExtB">
    <w:panose1 w:val="02010609060101010101"/>
    <w:charset w:val="86"/>
    <w:family w:val="modern"/>
    <w:pitch w:val="default"/>
    <w:sig w:usb0="00000001" w:usb1="02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661C8"/>
    <w:multiLevelType w:val="singleLevel"/>
    <w:tmpl w:val="759661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C61AB"/>
    <w:rsid w:val="171430EF"/>
    <w:rsid w:val="34D1082E"/>
    <w:rsid w:val="3CDC61AB"/>
    <w:rsid w:val="64111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2019-03-28T09:27:00Z</dcterms:created>
  <dc:creator>燕归来1392340192</dc:creator>
  <cp:lastModifiedBy>燕归来1392340192</cp:lastModifiedBy>
  <dcterms:modified xsi:type="dcterms:W3CDTF">2019-03-29T03:20:01Z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